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DB34A" w14:textId="77777777" w:rsidR="007765F6" w:rsidRPr="00882DD4" w:rsidRDefault="007765F6" w:rsidP="007765F6">
      <w:pPr>
        <w:spacing w:after="0" w:line="240" w:lineRule="auto"/>
        <w:rPr>
          <w:b/>
          <w:sz w:val="32"/>
          <w:szCs w:val="32"/>
        </w:rPr>
      </w:pPr>
      <w:r w:rsidRPr="00882DD4">
        <w:rPr>
          <w:b/>
          <w:sz w:val="32"/>
          <w:szCs w:val="32"/>
        </w:rPr>
        <w:t>TECHNICAL DATA SHEET</w:t>
      </w:r>
    </w:p>
    <w:p w14:paraId="5853D7F3" w14:textId="77777777" w:rsidR="007765F6" w:rsidRPr="00882DD4" w:rsidRDefault="007765F6" w:rsidP="007765F6">
      <w:pPr>
        <w:spacing w:after="0" w:line="240" w:lineRule="auto"/>
        <w:rPr>
          <w:sz w:val="12"/>
          <w:szCs w:val="12"/>
        </w:rPr>
      </w:pPr>
    </w:p>
    <w:p w14:paraId="23907CB7" w14:textId="77777777" w:rsidR="007765F6" w:rsidRDefault="007765F6" w:rsidP="007765F6">
      <w:pPr>
        <w:spacing w:after="0" w:line="240" w:lineRule="auto"/>
        <w:rPr>
          <w:b/>
          <w:sz w:val="20"/>
          <w:szCs w:val="20"/>
        </w:rPr>
      </w:pPr>
      <w:r w:rsidRPr="007765F6">
        <w:rPr>
          <w:b/>
          <w:sz w:val="20"/>
          <w:szCs w:val="20"/>
          <w:highlight w:val="lightGray"/>
        </w:rPr>
        <w:t>PRODUCT DESCRIPTION</w:t>
      </w:r>
    </w:p>
    <w:p w14:paraId="6F1FEB61" w14:textId="77777777" w:rsidR="00CF01D9" w:rsidRPr="00CF01D9" w:rsidRDefault="00CF01D9" w:rsidP="00CF01D9">
      <w:pPr>
        <w:spacing w:after="0" w:line="240" w:lineRule="auto"/>
        <w:rPr>
          <w:sz w:val="20"/>
          <w:szCs w:val="20"/>
        </w:rPr>
      </w:pPr>
      <w:r w:rsidRPr="00CF01D9">
        <w:rPr>
          <w:sz w:val="20"/>
          <w:szCs w:val="20"/>
        </w:rPr>
        <w:t xml:space="preserve">Anti-Graffiti coating represents a new class of tough thin and durable advanced polymers. This easy to apply coating turns ordinary walls and ceilings into a cleanable canvas of art. </w:t>
      </w:r>
      <w:proofErr w:type="gramStart"/>
      <w:r w:rsidRPr="00CF01D9">
        <w:rPr>
          <w:sz w:val="20"/>
          <w:szCs w:val="20"/>
        </w:rPr>
        <w:t>It’s</w:t>
      </w:r>
      <w:proofErr w:type="gramEnd"/>
      <w:r w:rsidRPr="00CF01D9">
        <w:rPr>
          <w:sz w:val="20"/>
          <w:szCs w:val="20"/>
        </w:rPr>
        <w:t xml:space="preserve"> unique physical properties give it superior cleanability and resistance to Sharpie solvent markers and most paints. Universal rubbing alcohol is used as the cleaner fluid with a dry clean rag. The Anti-Graffiti Coating is used on school room walls to replace blackboards and dry erase boards, subway walls and ceilings to provide easier paint removal, hospital walls and floors to enable easy clean up sanitary surfaces, protect outdoor building walls, steel and concrete bridges members, public bathroom walls and any surface indoor or out which requires graffiti protection or to aid in cleaning.</w:t>
      </w:r>
    </w:p>
    <w:p w14:paraId="4E5F2926" w14:textId="77777777" w:rsidR="00CF01D9" w:rsidRDefault="00CF01D9" w:rsidP="00CF01D9">
      <w:pPr>
        <w:spacing w:after="0" w:line="240" w:lineRule="auto"/>
        <w:rPr>
          <w:sz w:val="20"/>
          <w:szCs w:val="20"/>
        </w:rPr>
      </w:pPr>
    </w:p>
    <w:p w14:paraId="2D3FE89D" w14:textId="751554B2" w:rsidR="00CF01D9" w:rsidRPr="00CF01D9" w:rsidRDefault="00CF01D9" w:rsidP="00CF01D9">
      <w:pPr>
        <w:spacing w:after="0" w:line="240" w:lineRule="auto"/>
        <w:rPr>
          <w:sz w:val="20"/>
          <w:szCs w:val="20"/>
        </w:rPr>
      </w:pPr>
      <w:proofErr w:type="gramStart"/>
      <w:r w:rsidRPr="00CF01D9">
        <w:rPr>
          <w:sz w:val="20"/>
          <w:szCs w:val="20"/>
        </w:rPr>
        <w:t>This 70% solids</w:t>
      </w:r>
      <w:proofErr w:type="gramEnd"/>
      <w:r w:rsidRPr="00CF01D9">
        <w:rPr>
          <w:sz w:val="20"/>
          <w:szCs w:val="20"/>
        </w:rPr>
        <w:t xml:space="preserve"> 2-component coating is water based and therefore is easy to clean up using soap and water. It is easily applied using roller, air-less spray machine or brush. </w:t>
      </w:r>
      <w:bookmarkStart w:id="0" w:name="_GoBack"/>
      <w:bookmarkEnd w:id="0"/>
      <w:r w:rsidRPr="00CF01D9">
        <w:rPr>
          <w:sz w:val="20"/>
          <w:szCs w:val="20"/>
        </w:rPr>
        <w:t xml:space="preserve">Pot life after mixing is 30 minutes with air dry tack free surface time of 45 minutes depending on ambient humidity. It may be formulated in just about any color or clear as its natural state. It exhibits a high functioning temperature of 220°F, excellent abrasion and outdoor UV stability. It remains flexible at 0°F and can withstand light mild solvent attack. Given </w:t>
      </w:r>
      <w:proofErr w:type="gramStart"/>
      <w:r w:rsidRPr="00CF01D9">
        <w:rPr>
          <w:sz w:val="20"/>
          <w:szCs w:val="20"/>
        </w:rPr>
        <w:t>this materials</w:t>
      </w:r>
      <w:proofErr w:type="gramEnd"/>
      <w:r w:rsidRPr="00CF01D9">
        <w:rPr>
          <w:sz w:val="20"/>
          <w:szCs w:val="20"/>
        </w:rPr>
        <w:t xml:space="preserve"> extraordinary clean-ability and durability characteristics it lends itself to many diverse demanding applications.</w:t>
      </w:r>
    </w:p>
    <w:p w14:paraId="5E9F5263" w14:textId="77777777" w:rsidR="00CF01D9" w:rsidRPr="00182351" w:rsidRDefault="00CF01D9" w:rsidP="007765F6">
      <w:pPr>
        <w:spacing w:after="0" w:line="240" w:lineRule="auto"/>
        <w:rPr>
          <w:sz w:val="12"/>
          <w:szCs w:val="12"/>
        </w:rPr>
      </w:pPr>
    </w:p>
    <w:p w14:paraId="36C84748" w14:textId="21288B7D" w:rsidR="00B90051" w:rsidRDefault="00B90051" w:rsidP="007765F6">
      <w:pPr>
        <w:spacing w:after="0" w:line="240" w:lineRule="auto"/>
        <w:rPr>
          <w:b/>
          <w:sz w:val="20"/>
          <w:szCs w:val="20"/>
        </w:rPr>
      </w:pPr>
      <w:r w:rsidRPr="00B90051">
        <w:rPr>
          <w:b/>
          <w:sz w:val="20"/>
          <w:szCs w:val="20"/>
          <w:highlight w:val="lightGray"/>
        </w:rPr>
        <w:t>PHYSICAL PROPERTIES</w:t>
      </w:r>
    </w:p>
    <w:tbl>
      <w:tblPr>
        <w:tblStyle w:val="TableGrid"/>
        <w:tblW w:w="5078" w:type="dxa"/>
        <w:tblLook w:val="04A0" w:firstRow="1" w:lastRow="0" w:firstColumn="1" w:lastColumn="0" w:noHBand="0" w:noVBand="1"/>
      </w:tblPr>
      <w:tblGrid>
        <w:gridCol w:w="2156"/>
        <w:gridCol w:w="1426"/>
        <w:gridCol w:w="1496"/>
      </w:tblGrid>
      <w:tr w:rsidR="00CF01D9" w14:paraId="3305161D" w14:textId="77777777" w:rsidTr="00CF01D9">
        <w:trPr>
          <w:trHeight w:val="214"/>
        </w:trPr>
        <w:tc>
          <w:tcPr>
            <w:tcW w:w="2156" w:type="dxa"/>
          </w:tcPr>
          <w:p w14:paraId="3C6356F2" w14:textId="77777777" w:rsidR="00CF01D9" w:rsidRPr="00A063C1" w:rsidRDefault="00CF01D9" w:rsidP="007765F6">
            <w:pPr>
              <w:rPr>
                <w:sz w:val="16"/>
                <w:szCs w:val="16"/>
              </w:rPr>
            </w:pPr>
          </w:p>
        </w:tc>
        <w:tc>
          <w:tcPr>
            <w:tcW w:w="1426" w:type="dxa"/>
          </w:tcPr>
          <w:p w14:paraId="4A0B47D2" w14:textId="77777777" w:rsidR="00CF01D9" w:rsidRPr="00A063C1" w:rsidRDefault="00CF01D9" w:rsidP="007765F6">
            <w:pPr>
              <w:rPr>
                <w:sz w:val="16"/>
                <w:szCs w:val="16"/>
              </w:rPr>
            </w:pPr>
          </w:p>
        </w:tc>
        <w:tc>
          <w:tcPr>
            <w:tcW w:w="1496" w:type="dxa"/>
          </w:tcPr>
          <w:p w14:paraId="2DCF2F30" w14:textId="77777777" w:rsidR="00CF01D9" w:rsidRPr="00A063C1" w:rsidRDefault="00CF01D9" w:rsidP="00B90051">
            <w:pPr>
              <w:rPr>
                <w:b/>
                <w:sz w:val="16"/>
                <w:szCs w:val="16"/>
              </w:rPr>
            </w:pPr>
            <w:r w:rsidRPr="00A063C1">
              <w:rPr>
                <w:b/>
                <w:sz w:val="16"/>
                <w:szCs w:val="16"/>
              </w:rPr>
              <w:t>REGULAR</w:t>
            </w:r>
          </w:p>
        </w:tc>
      </w:tr>
      <w:tr w:rsidR="00CF01D9" w14:paraId="0656B247" w14:textId="77777777" w:rsidTr="00CF01D9">
        <w:trPr>
          <w:trHeight w:val="197"/>
        </w:trPr>
        <w:tc>
          <w:tcPr>
            <w:tcW w:w="2156" w:type="dxa"/>
          </w:tcPr>
          <w:p w14:paraId="652E2BF4" w14:textId="2698CBE2" w:rsidR="00CF01D9" w:rsidRPr="00A063C1" w:rsidRDefault="00CF01D9" w:rsidP="007765F6">
            <w:pPr>
              <w:rPr>
                <w:sz w:val="16"/>
                <w:szCs w:val="16"/>
              </w:rPr>
            </w:pPr>
            <w:r w:rsidRPr="00CF01D9">
              <w:rPr>
                <w:sz w:val="16"/>
                <w:szCs w:val="16"/>
              </w:rPr>
              <w:t xml:space="preserve">Optical </w:t>
            </w:r>
            <w:proofErr w:type="spellStart"/>
            <w:r w:rsidRPr="00CF01D9">
              <w:rPr>
                <w:sz w:val="16"/>
                <w:szCs w:val="16"/>
              </w:rPr>
              <w:t>Clearity</w:t>
            </w:r>
            <w:proofErr w:type="spellEnd"/>
          </w:p>
        </w:tc>
        <w:tc>
          <w:tcPr>
            <w:tcW w:w="1426" w:type="dxa"/>
          </w:tcPr>
          <w:p w14:paraId="37590C2E" w14:textId="537BC658" w:rsidR="00CF01D9" w:rsidRPr="00A063C1" w:rsidRDefault="00CF01D9" w:rsidP="007765F6">
            <w:pPr>
              <w:rPr>
                <w:sz w:val="16"/>
                <w:szCs w:val="16"/>
              </w:rPr>
            </w:pPr>
            <w:r w:rsidRPr="00CF01D9">
              <w:rPr>
                <w:sz w:val="16"/>
                <w:szCs w:val="16"/>
              </w:rPr>
              <w:t>Visual</w:t>
            </w:r>
          </w:p>
        </w:tc>
        <w:tc>
          <w:tcPr>
            <w:tcW w:w="1496" w:type="dxa"/>
          </w:tcPr>
          <w:p w14:paraId="6E3500B2" w14:textId="669B782B" w:rsidR="00CF01D9" w:rsidRPr="00A063C1" w:rsidRDefault="00BD4828" w:rsidP="007765F6">
            <w:pPr>
              <w:rPr>
                <w:sz w:val="16"/>
                <w:szCs w:val="16"/>
              </w:rPr>
            </w:pPr>
            <w:r w:rsidRPr="00BD4828">
              <w:rPr>
                <w:sz w:val="16"/>
                <w:szCs w:val="16"/>
              </w:rPr>
              <w:t>Clear</w:t>
            </w:r>
          </w:p>
        </w:tc>
      </w:tr>
      <w:tr w:rsidR="00CF01D9" w14:paraId="6A771E5E" w14:textId="77777777" w:rsidTr="00CF01D9">
        <w:trPr>
          <w:trHeight w:val="214"/>
        </w:trPr>
        <w:tc>
          <w:tcPr>
            <w:tcW w:w="2156" w:type="dxa"/>
          </w:tcPr>
          <w:p w14:paraId="4701F964" w14:textId="77777777" w:rsidR="00CF01D9" w:rsidRPr="00A063C1" w:rsidRDefault="00CF01D9" w:rsidP="007765F6">
            <w:pPr>
              <w:rPr>
                <w:sz w:val="16"/>
                <w:szCs w:val="16"/>
              </w:rPr>
            </w:pPr>
            <w:r w:rsidRPr="00A063C1">
              <w:rPr>
                <w:sz w:val="16"/>
                <w:szCs w:val="16"/>
              </w:rPr>
              <w:t>Tensile Strength</w:t>
            </w:r>
          </w:p>
        </w:tc>
        <w:tc>
          <w:tcPr>
            <w:tcW w:w="1426" w:type="dxa"/>
          </w:tcPr>
          <w:p w14:paraId="31C95756" w14:textId="6A6E1EF2" w:rsidR="00CF01D9" w:rsidRPr="00A063C1" w:rsidRDefault="00CF01D9" w:rsidP="007765F6">
            <w:pPr>
              <w:rPr>
                <w:sz w:val="16"/>
                <w:szCs w:val="16"/>
              </w:rPr>
            </w:pPr>
            <w:r w:rsidRPr="00CF01D9">
              <w:rPr>
                <w:sz w:val="16"/>
                <w:szCs w:val="16"/>
              </w:rPr>
              <w:t>ASTM D412</w:t>
            </w:r>
          </w:p>
        </w:tc>
        <w:tc>
          <w:tcPr>
            <w:tcW w:w="1496" w:type="dxa"/>
          </w:tcPr>
          <w:p w14:paraId="1428414E" w14:textId="2B74210A" w:rsidR="00CF01D9" w:rsidRPr="00A063C1" w:rsidRDefault="00BD4828" w:rsidP="007765F6">
            <w:pPr>
              <w:rPr>
                <w:sz w:val="16"/>
                <w:szCs w:val="16"/>
              </w:rPr>
            </w:pPr>
            <w:r w:rsidRPr="00BD4828">
              <w:rPr>
                <w:sz w:val="16"/>
                <w:szCs w:val="16"/>
              </w:rPr>
              <w:t>3410 psi</w:t>
            </w:r>
          </w:p>
        </w:tc>
      </w:tr>
      <w:tr w:rsidR="00CF01D9" w14:paraId="715A9ECF" w14:textId="77777777" w:rsidTr="00CF01D9">
        <w:trPr>
          <w:trHeight w:val="214"/>
        </w:trPr>
        <w:tc>
          <w:tcPr>
            <w:tcW w:w="2156" w:type="dxa"/>
          </w:tcPr>
          <w:p w14:paraId="76D4EAAA" w14:textId="267538A2" w:rsidR="00CF01D9" w:rsidRPr="00A063C1" w:rsidRDefault="00CF01D9" w:rsidP="007765F6">
            <w:pPr>
              <w:rPr>
                <w:sz w:val="16"/>
                <w:szCs w:val="16"/>
              </w:rPr>
            </w:pPr>
            <w:r w:rsidRPr="00CF01D9">
              <w:rPr>
                <w:sz w:val="16"/>
                <w:szCs w:val="16"/>
              </w:rPr>
              <w:t>Elongation</w:t>
            </w:r>
          </w:p>
        </w:tc>
        <w:tc>
          <w:tcPr>
            <w:tcW w:w="1426" w:type="dxa"/>
          </w:tcPr>
          <w:p w14:paraId="613B78E3" w14:textId="006B1A82" w:rsidR="00CF01D9" w:rsidRPr="00A063C1" w:rsidRDefault="00CF01D9" w:rsidP="007765F6">
            <w:pPr>
              <w:rPr>
                <w:sz w:val="16"/>
                <w:szCs w:val="16"/>
              </w:rPr>
            </w:pPr>
            <w:r w:rsidRPr="00CF01D9">
              <w:rPr>
                <w:sz w:val="16"/>
                <w:szCs w:val="16"/>
              </w:rPr>
              <w:t>ASTM D2256</w:t>
            </w:r>
          </w:p>
        </w:tc>
        <w:tc>
          <w:tcPr>
            <w:tcW w:w="1496" w:type="dxa"/>
          </w:tcPr>
          <w:p w14:paraId="4199837E" w14:textId="77777777" w:rsidR="00CF01D9" w:rsidRPr="00A063C1" w:rsidRDefault="00CF01D9" w:rsidP="007765F6">
            <w:pPr>
              <w:rPr>
                <w:sz w:val="16"/>
                <w:szCs w:val="16"/>
              </w:rPr>
            </w:pPr>
            <w:r>
              <w:rPr>
                <w:sz w:val="16"/>
                <w:szCs w:val="16"/>
              </w:rPr>
              <w:t>350</w:t>
            </w:r>
            <w:r w:rsidRPr="00A063C1">
              <w:rPr>
                <w:sz w:val="16"/>
                <w:szCs w:val="16"/>
              </w:rPr>
              <w:t>%</w:t>
            </w:r>
          </w:p>
        </w:tc>
      </w:tr>
      <w:tr w:rsidR="00CF01D9" w14:paraId="2FE2DF45" w14:textId="77777777" w:rsidTr="00CF01D9">
        <w:trPr>
          <w:trHeight w:val="197"/>
        </w:trPr>
        <w:tc>
          <w:tcPr>
            <w:tcW w:w="2156" w:type="dxa"/>
          </w:tcPr>
          <w:p w14:paraId="3C8B5752" w14:textId="0C422844" w:rsidR="00CF01D9" w:rsidRPr="00A063C1" w:rsidRDefault="00CF01D9" w:rsidP="007765F6">
            <w:pPr>
              <w:rPr>
                <w:sz w:val="16"/>
                <w:szCs w:val="16"/>
              </w:rPr>
            </w:pPr>
            <w:r w:rsidRPr="00CF01D9">
              <w:rPr>
                <w:sz w:val="16"/>
                <w:szCs w:val="16"/>
              </w:rPr>
              <w:t>Hardness -Shore D</w:t>
            </w:r>
          </w:p>
        </w:tc>
        <w:tc>
          <w:tcPr>
            <w:tcW w:w="1426" w:type="dxa"/>
          </w:tcPr>
          <w:p w14:paraId="48A1C2D3" w14:textId="6C21EE2B" w:rsidR="00CF01D9" w:rsidRPr="00A063C1" w:rsidRDefault="00CF01D9" w:rsidP="007765F6">
            <w:pPr>
              <w:rPr>
                <w:sz w:val="16"/>
                <w:szCs w:val="16"/>
              </w:rPr>
            </w:pPr>
            <w:r w:rsidRPr="00CF01D9">
              <w:rPr>
                <w:sz w:val="16"/>
                <w:szCs w:val="16"/>
              </w:rPr>
              <w:t>ASTM D785</w:t>
            </w:r>
          </w:p>
        </w:tc>
        <w:tc>
          <w:tcPr>
            <w:tcW w:w="1496" w:type="dxa"/>
          </w:tcPr>
          <w:p w14:paraId="00BBF0EC" w14:textId="3F84B879" w:rsidR="00CF01D9" w:rsidRPr="00A063C1" w:rsidRDefault="00BD4828" w:rsidP="007765F6">
            <w:pPr>
              <w:rPr>
                <w:sz w:val="16"/>
                <w:szCs w:val="16"/>
              </w:rPr>
            </w:pPr>
            <w:r w:rsidRPr="00BD4828">
              <w:rPr>
                <w:sz w:val="16"/>
                <w:szCs w:val="16"/>
              </w:rPr>
              <w:t>45D</w:t>
            </w:r>
          </w:p>
        </w:tc>
      </w:tr>
      <w:tr w:rsidR="00CF01D9" w14:paraId="48BBF5EF" w14:textId="77777777" w:rsidTr="00BD4828">
        <w:trPr>
          <w:trHeight w:val="278"/>
        </w:trPr>
        <w:tc>
          <w:tcPr>
            <w:tcW w:w="2156" w:type="dxa"/>
          </w:tcPr>
          <w:p w14:paraId="2D9C1B08" w14:textId="678A1B1C" w:rsidR="00CF01D9" w:rsidRPr="00A063C1" w:rsidRDefault="00CF01D9" w:rsidP="007765F6">
            <w:pPr>
              <w:rPr>
                <w:sz w:val="16"/>
                <w:szCs w:val="16"/>
              </w:rPr>
            </w:pPr>
            <w:r w:rsidRPr="00CF01D9">
              <w:rPr>
                <w:sz w:val="16"/>
                <w:szCs w:val="16"/>
              </w:rPr>
              <w:t>Abrasion -TaberCS17</w:t>
            </w:r>
          </w:p>
        </w:tc>
        <w:tc>
          <w:tcPr>
            <w:tcW w:w="1426" w:type="dxa"/>
          </w:tcPr>
          <w:p w14:paraId="58C5D364" w14:textId="024090EB" w:rsidR="00CF01D9" w:rsidRPr="00A063C1" w:rsidRDefault="00CF01D9" w:rsidP="007765F6">
            <w:pPr>
              <w:rPr>
                <w:sz w:val="16"/>
                <w:szCs w:val="16"/>
              </w:rPr>
            </w:pPr>
            <w:r w:rsidRPr="00CF01D9">
              <w:rPr>
                <w:sz w:val="16"/>
                <w:szCs w:val="16"/>
              </w:rPr>
              <w:t>ASTM D4060</w:t>
            </w:r>
          </w:p>
        </w:tc>
        <w:tc>
          <w:tcPr>
            <w:tcW w:w="1496" w:type="dxa"/>
          </w:tcPr>
          <w:p w14:paraId="384B7E7B" w14:textId="2AE3F12D" w:rsidR="00CF01D9" w:rsidRPr="00A063C1" w:rsidRDefault="00BD4828" w:rsidP="007765F6">
            <w:pPr>
              <w:rPr>
                <w:sz w:val="16"/>
                <w:szCs w:val="16"/>
              </w:rPr>
            </w:pPr>
            <w:r w:rsidRPr="00BD4828">
              <w:rPr>
                <w:sz w:val="16"/>
                <w:szCs w:val="16"/>
              </w:rPr>
              <w:t>60 mg/1k cycles</w:t>
            </w:r>
          </w:p>
        </w:tc>
      </w:tr>
      <w:tr w:rsidR="00CF01D9" w14:paraId="17B2884C" w14:textId="77777777" w:rsidTr="00BD4828">
        <w:trPr>
          <w:trHeight w:val="278"/>
        </w:trPr>
        <w:tc>
          <w:tcPr>
            <w:tcW w:w="2156" w:type="dxa"/>
          </w:tcPr>
          <w:p w14:paraId="6DD6ACDC" w14:textId="56FC62BB" w:rsidR="00CF01D9" w:rsidRPr="00A063C1" w:rsidRDefault="00CF01D9" w:rsidP="007765F6">
            <w:pPr>
              <w:rPr>
                <w:sz w:val="16"/>
                <w:szCs w:val="16"/>
              </w:rPr>
            </w:pPr>
            <w:r w:rsidRPr="00CF01D9">
              <w:rPr>
                <w:sz w:val="16"/>
                <w:szCs w:val="16"/>
              </w:rPr>
              <w:t>Gel Time</w:t>
            </w:r>
          </w:p>
        </w:tc>
        <w:tc>
          <w:tcPr>
            <w:tcW w:w="1426" w:type="dxa"/>
          </w:tcPr>
          <w:p w14:paraId="5FB2685C" w14:textId="3F6BE467" w:rsidR="00CF01D9" w:rsidRPr="00A063C1" w:rsidRDefault="00CF01D9" w:rsidP="007765F6">
            <w:pPr>
              <w:rPr>
                <w:sz w:val="16"/>
                <w:szCs w:val="16"/>
              </w:rPr>
            </w:pPr>
            <w:r w:rsidRPr="00CF01D9">
              <w:rPr>
                <w:sz w:val="16"/>
                <w:szCs w:val="16"/>
              </w:rPr>
              <w:t>Time</w:t>
            </w:r>
          </w:p>
        </w:tc>
        <w:tc>
          <w:tcPr>
            <w:tcW w:w="1496" w:type="dxa"/>
          </w:tcPr>
          <w:p w14:paraId="5A5A75C0" w14:textId="68ABD409" w:rsidR="00CF01D9" w:rsidRPr="00A063C1" w:rsidRDefault="00BD4828" w:rsidP="007765F6">
            <w:pPr>
              <w:rPr>
                <w:sz w:val="16"/>
                <w:szCs w:val="16"/>
              </w:rPr>
            </w:pPr>
            <w:r w:rsidRPr="00BD4828">
              <w:rPr>
                <w:sz w:val="16"/>
                <w:szCs w:val="16"/>
              </w:rPr>
              <w:t>45 min</w:t>
            </w:r>
          </w:p>
        </w:tc>
      </w:tr>
      <w:tr w:rsidR="00CF01D9" w14:paraId="7F8FB8D6" w14:textId="77777777" w:rsidTr="00CF01D9">
        <w:trPr>
          <w:trHeight w:val="197"/>
        </w:trPr>
        <w:tc>
          <w:tcPr>
            <w:tcW w:w="2156" w:type="dxa"/>
          </w:tcPr>
          <w:p w14:paraId="37239D0F" w14:textId="46013A1B" w:rsidR="00CF01D9" w:rsidRPr="00A063C1" w:rsidRDefault="00CF01D9" w:rsidP="007765F6">
            <w:pPr>
              <w:rPr>
                <w:sz w:val="16"/>
                <w:szCs w:val="16"/>
              </w:rPr>
            </w:pPr>
            <w:r w:rsidRPr="00CF01D9">
              <w:rPr>
                <w:sz w:val="16"/>
                <w:szCs w:val="16"/>
              </w:rPr>
              <w:t>Mix Ratio</w:t>
            </w:r>
          </w:p>
        </w:tc>
        <w:tc>
          <w:tcPr>
            <w:tcW w:w="1426" w:type="dxa"/>
          </w:tcPr>
          <w:p w14:paraId="6C4D0CEE" w14:textId="65648CCE" w:rsidR="00CF01D9" w:rsidRPr="00A063C1" w:rsidRDefault="00CF01D9" w:rsidP="007765F6">
            <w:pPr>
              <w:rPr>
                <w:sz w:val="16"/>
                <w:szCs w:val="16"/>
              </w:rPr>
            </w:pPr>
            <w:r w:rsidRPr="00CF01D9">
              <w:rPr>
                <w:sz w:val="16"/>
                <w:szCs w:val="16"/>
              </w:rPr>
              <w:t>PBV</w:t>
            </w:r>
          </w:p>
        </w:tc>
        <w:tc>
          <w:tcPr>
            <w:tcW w:w="1496" w:type="dxa"/>
          </w:tcPr>
          <w:p w14:paraId="62F60769" w14:textId="4EC1DDB6" w:rsidR="00CF01D9" w:rsidRPr="00A063C1" w:rsidRDefault="00BD4828" w:rsidP="007765F6">
            <w:pPr>
              <w:rPr>
                <w:sz w:val="16"/>
                <w:szCs w:val="16"/>
              </w:rPr>
            </w:pPr>
            <w:r w:rsidRPr="00BD4828">
              <w:rPr>
                <w:sz w:val="16"/>
                <w:szCs w:val="16"/>
              </w:rPr>
              <w:t>1:2</w:t>
            </w:r>
            <w:r w:rsidR="00EF5C86">
              <w:rPr>
                <w:sz w:val="16"/>
                <w:szCs w:val="16"/>
              </w:rPr>
              <w:t xml:space="preserve"> A/B</w:t>
            </w:r>
          </w:p>
        </w:tc>
      </w:tr>
    </w:tbl>
    <w:p w14:paraId="6848C995" w14:textId="77777777" w:rsidR="00F1763D" w:rsidRPr="00182351" w:rsidRDefault="00F1763D" w:rsidP="007765F6">
      <w:pPr>
        <w:spacing w:after="0" w:line="240" w:lineRule="auto"/>
        <w:rPr>
          <w:b/>
          <w:sz w:val="12"/>
          <w:szCs w:val="12"/>
          <w:highlight w:val="lightGray"/>
        </w:rPr>
      </w:pPr>
    </w:p>
    <w:p w14:paraId="157A32B6" w14:textId="77777777" w:rsidR="00BD4828" w:rsidRDefault="00BD4828" w:rsidP="00F1763D">
      <w:pPr>
        <w:spacing w:after="0" w:line="240" w:lineRule="auto"/>
        <w:rPr>
          <w:b/>
          <w:sz w:val="20"/>
          <w:szCs w:val="20"/>
          <w:highlight w:val="lightGray"/>
        </w:rPr>
      </w:pPr>
    </w:p>
    <w:p w14:paraId="4B6A4ACB" w14:textId="34AABF50" w:rsidR="00F1763D" w:rsidRDefault="002E0955" w:rsidP="00F1763D">
      <w:pPr>
        <w:spacing w:after="0" w:line="240" w:lineRule="auto"/>
        <w:rPr>
          <w:b/>
          <w:sz w:val="20"/>
          <w:szCs w:val="20"/>
        </w:rPr>
      </w:pPr>
      <w:r w:rsidRPr="002E0955">
        <w:rPr>
          <w:b/>
          <w:sz w:val="20"/>
          <w:szCs w:val="20"/>
          <w:highlight w:val="lightGray"/>
        </w:rPr>
        <w:t>ADHESION RESULTS</w:t>
      </w:r>
    </w:p>
    <w:tbl>
      <w:tblPr>
        <w:tblStyle w:val="TableGrid"/>
        <w:tblW w:w="5215" w:type="dxa"/>
        <w:tblLook w:val="04A0" w:firstRow="1" w:lastRow="0" w:firstColumn="1" w:lastColumn="0" w:noHBand="0" w:noVBand="1"/>
      </w:tblPr>
      <w:tblGrid>
        <w:gridCol w:w="1795"/>
        <w:gridCol w:w="900"/>
        <w:gridCol w:w="2520"/>
      </w:tblGrid>
      <w:tr w:rsidR="002E0955" w14:paraId="4E5732D3" w14:textId="77777777" w:rsidTr="006629D2">
        <w:tc>
          <w:tcPr>
            <w:tcW w:w="5215" w:type="dxa"/>
            <w:gridSpan w:val="3"/>
          </w:tcPr>
          <w:p w14:paraId="47C43CA4" w14:textId="77777777" w:rsidR="002E0955" w:rsidRPr="002E0955" w:rsidRDefault="002E0955" w:rsidP="002E0955">
            <w:pPr>
              <w:jc w:val="center"/>
              <w:rPr>
                <w:b/>
                <w:sz w:val="16"/>
                <w:szCs w:val="16"/>
                <w:u w:val="single"/>
              </w:rPr>
            </w:pPr>
            <w:r>
              <w:rPr>
                <w:b/>
                <w:sz w:val="16"/>
                <w:szCs w:val="16"/>
                <w:u w:val="single"/>
              </w:rPr>
              <w:t xml:space="preserve">Typical Substrates per ASTM D-4541 </w:t>
            </w:r>
            <w:proofErr w:type="spellStart"/>
            <w:r>
              <w:rPr>
                <w:b/>
                <w:sz w:val="16"/>
                <w:szCs w:val="16"/>
                <w:u w:val="single"/>
              </w:rPr>
              <w:t>Elcometer</w:t>
            </w:r>
            <w:proofErr w:type="spellEnd"/>
          </w:p>
        </w:tc>
      </w:tr>
      <w:tr w:rsidR="00F1763D" w:rsidRPr="00A063C1" w14:paraId="513A4A95" w14:textId="77777777" w:rsidTr="00443556">
        <w:tc>
          <w:tcPr>
            <w:tcW w:w="1795" w:type="dxa"/>
          </w:tcPr>
          <w:p w14:paraId="02459AED" w14:textId="77777777" w:rsidR="00F1763D" w:rsidRPr="00A063C1" w:rsidRDefault="00443556" w:rsidP="00EC233E">
            <w:pPr>
              <w:rPr>
                <w:sz w:val="16"/>
                <w:szCs w:val="16"/>
              </w:rPr>
            </w:pPr>
            <w:r>
              <w:rPr>
                <w:sz w:val="16"/>
                <w:szCs w:val="16"/>
              </w:rPr>
              <w:t>Concrete*</w:t>
            </w:r>
          </w:p>
        </w:tc>
        <w:tc>
          <w:tcPr>
            <w:tcW w:w="900" w:type="dxa"/>
          </w:tcPr>
          <w:p w14:paraId="43553A82" w14:textId="75FD32D5" w:rsidR="00F1763D" w:rsidRPr="00A063C1" w:rsidRDefault="0009572A" w:rsidP="00EC233E">
            <w:pPr>
              <w:rPr>
                <w:sz w:val="16"/>
                <w:szCs w:val="16"/>
              </w:rPr>
            </w:pPr>
            <w:r>
              <w:rPr>
                <w:sz w:val="16"/>
                <w:szCs w:val="16"/>
              </w:rPr>
              <w:t>&gt;</w:t>
            </w:r>
            <w:r w:rsidR="00BD4828">
              <w:rPr>
                <w:sz w:val="16"/>
                <w:szCs w:val="16"/>
              </w:rPr>
              <w:t xml:space="preserve">50 </w:t>
            </w:r>
            <w:r>
              <w:rPr>
                <w:sz w:val="16"/>
                <w:szCs w:val="16"/>
              </w:rPr>
              <w:t>psi</w:t>
            </w:r>
          </w:p>
        </w:tc>
        <w:tc>
          <w:tcPr>
            <w:tcW w:w="2520" w:type="dxa"/>
          </w:tcPr>
          <w:p w14:paraId="37B260DA" w14:textId="53B394EB" w:rsidR="00F1763D" w:rsidRPr="00A063C1" w:rsidRDefault="00BD4828" w:rsidP="00EC233E">
            <w:pPr>
              <w:rPr>
                <w:sz w:val="16"/>
                <w:szCs w:val="16"/>
              </w:rPr>
            </w:pPr>
            <w:r w:rsidRPr="00BD4828">
              <w:rPr>
                <w:sz w:val="16"/>
                <w:szCs w:val="16"/>
              </w:rPr>
              <w:t>Excellent bonding</w:t>
            </w:r>
          </w:p>
        </w:tc>
      </w:tr>
      <w:tr w:rsidR="00F1763D" w:rsidRPr="00A063C1" w14:paraId="497E70CA" w14:textId="77777777" w:rsidTr="00443556">
        <w:tc>
          <w:tcPr>
            <w:tcW w:w="1795" w:type="dxa"/>
          </w:tcPr>
          <w:p w14:paraId="444C2998" w14:textId="77777777" w:rsidR="00F1763D" w:rsidRPr="00A063C1" w:rsidRDefault="00443556" w:rsidP="00EC233E">
            <w:pPr>
              <w:rPr>
                <w:sz w:val="16"/>
                <w:szCs w:val="16"/>
              </w:rPr>
            </w:pPr>
            <w:r>
              <w:rPr>
                <w:sz w:val="16"/>
                <w:szCs w:val="16"/>
              </w:rPr>
              <w:t>Steel*</w:t>
            </w:r>
          </w:p>
        </w:tc>
        <w:tc>
          <w:tcPr>
            <w:tcW w:w="900" w:type="dxa"/>
          </w:tcPr>
          <w:p w14:paraId="38E48289" w14:textId="6276A3FE" w:rsidR="00F1763D" w:rsidRPr="00A063C1" w:rsidRDefault="0009572A" w:rsidP="00EC233E">
            <w:pPr>
              <w:rPr>
                <w:sz w:val="16"/>
                <w:szCs w:val="16"/>
              </w:rPr>
            </w:pPr>
            <w:r>
              <w:rPr>
                <w:sz w:val="16"/>
                <w:szCs w:val="16"/>
              </w:rPr>
              <w:t>&gt;</w:t>
            </w:r>
            <w:r w:rsidR="00BD4828">
              <w:rPr>
                <w:sz w:val="16"/>
                <w:szCs w:val="16"/>
              </w:rPr>
              <w:t>50</w:t>
            </w:r>
            <w:r>
              <w:rPr>
                <w:sz w:val="16"/>
                <w:szCs w:val="16"/>
              </w:rPr>
              <w:t xml:space="preserve"> psi</w:t>
            </w:r>
          </w:p>
        </w:tc>
        <w:tc>
          <w:tcPr>
            <w:tcW w:w="2520" w:type="dxa"/>
          </w:tcPr>
          <w:p w14:paraId="3170A533" w14:textId="77777777" w:rsidR="00F1763D" w:rsidRPr="00A063C1" w:rsidRDefault="0009572A" w:rsidP="00EC233E">
            <w:pPr>
              <w:rPr>
                <w:sz w:val="16"/>
                <w:szCs w:val="16"/>
              </w:rPr>
            </w:pPr>
            <w:r>
              <w:rPr>
                <w:sz w:val="16"/>
                <w:szCs w:val="16"/>
              </w:rPr>
              <w:t>Excellent bonding</w:t>
            </w:r>
          </w:p>
        </w:tc>
      </w:tr>
      <w:tr w:rsidR="00F1763D" w:rsidRPr="00A063C1" w14:paraId="680C0886" w14:textId="77777777" w:rsidTr="00443556">
        <w:tc>
          <w:tcPr>
            <w:tcW w:w="1795" w:type="dxa"/>
          </w:tcPr>
          <w:p w14:paraId="12B9D85E" w14:textId="77777777" w:rsidR="00F1763D" w:rsidRPr="00A063C1" w:rsidRDefault="0009572A" w:rsidP="00EC233E">
            <w:pPr>
              <w:rPr>
                <w:sz w:val="16"/>
                <w:szCs w:val="16"/>
              </w:rPr>
            </w:pPr>
            <w:r>
              <w:rPr>
                <w:sz w:val="16"/>
                <w:szCs w:val="16"/>
              </w:rPr>
              <w:t>Composite Lamination</w:t>
            </w:r>
            <w:r w:rsidR="00443556">
              <w:rPr>
                <w:sz w:val="16"/>
                <w:szCs w:val="16"/>
              </w:rPr>
              <w:t>*</w:t>
            </w:r>
          </w:p>
        </w:tc>
        <w:tc>
          <w:tcPr>
            <w:tcW w:w="900" w:type="dxa"/>
          </w:tcPr>
          <w:p w14:paraId="7EAE3F99" w14:textId="1B8D5DAE" w:rsidR="00F1763D" w:rsidRPr="00A063C1" w:rsidRDefault="0009572A" w:rsidP="00EC233E">
            <w:pPr>
              <w:rPr>
                <w:sz w:val="16"/>
                <w:szCs w:val="16"/>
              </w:rPr>
            </w:pPr>
            <w:r>
              <w:rPr>
                <w:sz w:val="16"/>
                <w:szCs w:val="16"/>
              </w:rPr>
              <w:t>&gt;</w:t>
            </w:r>
            <w:r w:rsidR="00BD4828">
              <w:rPr>
                <w:sz w:val="16"/>
                <w:szCs w:val="16"/>
              </w:rPr>
              <w:t>50</w:t>
            </w:r>
            <w:r>
              <w:rPr>
                <w:sz w:val="16"/>
                <w:szCs w:val="16"/>
              </w:rPr>
              <w:t xml:space="preserve"> psi</w:t>
            </w:r>
          </w:p>
        </w:tc>
        <w:tc>
          <w:tcPr>
            <w:tcW w:w="2520" w:type="dxa"/>
          </w:tcPr>
          <w:p w14:paraId="7DCACC49" w14:textId="2BAE11EB" w:rsidR="00F1763D" w:rsidRPr="00A063C1" w:rsidRDefault="00BD4828" w:rsidP="00EC233E">
            <w:pPr>
              <w:rPr>
                <w:sz w:val="16"/>
                <w:szCs w:val="16"/>
              </w:rPr>
            </w:pPr>
            <w:r w:rsidRPr="00BD4828">
              <w:rPr>
                <w:sz w:val="16"/>
                <w:szCs w:val="16"/>
              </w:rPr>
              <w:t>Excellent bonding</w:t>
            </w:r>
          </w:p>
        </w:tc>
      </w:tr>
      <w:tr w:rsidR="00443556" w:rsidRPr="00A063C1" w14:paraId="6851D51E" w14:textId="77777777" w:rsidTr="00056B51">
        <w:trPr>
          <w:trHeight w:val="70"/>
        </w:trPr>
        <w:tc>
          <w:tcPr>
            <w:tcW w:w="5215" w:type="dxa"/>
            <w:gridSpan w:val="3"/>
          </w:tcPr>
          <w:p w14:paraId="30AFEE33" w14:textId="77777777" w:rsidR="00443556" w:rsidRDefault="00443556" w:rsidP="00EC233E">
            <w:pPr>
              <w:rPr>
                <w:sz w:val="16"/>
                <w:szCs w:val="16"/>
              </w:rPr>
            </w:pPr>
            <w:r>
              <w:rPr>
                <w:sz w:val="16"/>
                <w:szCs w:val="16"/>
              </w:rPr>
              <w:t>*All substrates primed with SuperSkinSystems’ Primer 28</w:t>
            </w:r>
          </w:p>
        </w:tc>
      </w:tr>
    </w:tbl>
    <w:p w14:paraId="2669E1C0" w14:textId="77777777" w:rsidR="00F1763D" w:rsidRPr="00182351" w:rsidRDefault="00F1763D" w:rsidP="00F1763D">
      <w:pPr>
        <w:spacing w:after="0" w:line="240" w:lineRule="auto"/>
        <w:rPr>
          <w:sz w:val="12"/>
          <w:szCs w:val="12"/>
        </w:rPr>
      </w:pPr>
    </w:p>
    <w:p w14:paraId="47065446" w14:textId="77777777" w:rsidR="002E0955" w:rsidRPr="00F1763D" w:rsidRDefault="002E0955" w:rsidP="002E0955">
      <w:pPr>
        <w:spacing w:after="0" w:line="240" w:lineRule="auto"/>
        <w:rPr>
          <w:b/>
          <w:sz w:val="20"/>
          <w:szCs w:val="20"/>
        </w:rPr>
      </w:pPr>
      <w:r w:rsidRPr="00F1763D">
        <w:rPr>
          <w:b/>
          <w:sz w:val="20"/>
          <w:szCs w:val="20"/>
          <w:highlight w:val="lightGray"/>
        </w:rPr>
        <w:t>HEALTH AND SAFETY</w:t>
      </w:r>
    </w:p>
    <w:p w14:paraId="58DBCCE2" w14:textId="77777777" w:rsidR="002E0955" w:rsidRDefault="002E0955" w:rsidP="002E0955">
      <w:pPr>
        <w:spacing w:after="0" w:line="240" w:lineRule="auto"/>
        <w:rPr>
          <w:sz w:val="20"/>
          <w:szCs w:val="20"/>
        </w:rPr>
      </w:pPr>
      <w:r>
        <w:rPr>
          <w:sz w:val="20"/>
          <w:szCs w:val="20"/>
        </w:rPr>
        <w:t>Read the Safety Data Sheet (SDS) and container labels for detailed health and safety information.  This product is intended for industrial use by properly trained professional applicators only.</w:t>
      </w:r>
    </w:p>
    <w:p w14:paraId="034FD093" w14:textId="77777777" w:rsidR="002E0955" w:rsidRPr="00182351" w:rsidRDefault="002E0955" w:rsidP="00F1763D">
      <w:pPr>
        <w:spacing w:after="0" w:line="240" w:lineRule="auto"/>
        <w:rPr>
          <w:sz w:val="12"/>
          <w:szCs w:val="12"/>
        </w:rPr>
      </w:pPr>
    </w:p>
    <w:p w14:paraId="28013C0B" w14:textId="77777777" w:rsidR="00B85684" w:rsidRDefault="00B85684" w:rsidP="007765F6">
      <w:pPr>
        <w:spacing w:after="0" w:line="240" w:lineRule="auto"/>
        <w:rPr>
          <w:b/>
          <w:sz w:val="20"/>
          <w:szCs w:val="20"/>
        </w:rPr>
      </w:pPr>
      <w:r w:rsidRPr="00B85684">
        <w:rPr>
          <w:b/>
          <w:sz w:val="20"/>
          <w:szCs w:val="20"/>
          <w:highlight w:val="lightGray"/>
        </w:rPr>
        <w:t>TECHNICAL APPLICATION DATA</w:t>
      </w:r>
    </w:p>
    <w:p w14:paraId="32E571D1" w14:textId="77777777" w:rsidR="00CF01D9" w:rsidRDefault="00CF01D9" w:rsidP="00CF01D9">
      <w:pPr>
        <w:spacing w:after="0" w:line="240" w:lineRule="auto"/>
        <w:rPr>
          <w:sz w:val="20"/>
          <w:szCs w:val="20"/>
        </w:rPr>
      </w:pPr>
      <w:r w:rsidRPr="00CF01D9">
        <w:rPr>
          <w:sz w:val="20"/>
          <w:szCs w:val="20"/>
        </w:rPr>
        <w:t>Anti-</w:t>
      </w:r>
      <w:proofErr w:type="spellStart"/>
      <w:r w:rsidRPr="00CF01D9">
        <w:rPr>
          <w:sz w:val="20"/>
          <w:szCs w:val="20"/>
        </w:rPr>
        <w:t>Grafitti</w:t>
      </w:r>
      <w:proofErr w:type="spellEnd"/>
      <w:r w:rsidRPr="00CF01D9">
        <w:rPr>
          <w:sz w:val="20"/>
          <w:szCs w:val="20"/>
        </w:rPr>
        <w:t xml:space="preserve"> is </w:t>
      </w:r>
      <w:proofErr w:type="gramStart"/>
      <w:r w:rsidRPr="00CF01D9">
        <w:rPr>
          <w:sz w:val="20"/>
          <w:szCs w:val="20"/>
        </w:rPr>
        <w:t>a two component 70% solids</w:t>
      </w:r>
      <w:proofErr w:type="gramEnd"/>
      <w:r w:rsidRPr="00CF01D9">
        <w:rPr>
          <w:sz w:val="20"/>
          <w:szCs w:val="20"/>
        </w:rPr>
        <w:t xml:space="preserve"> aliphatic high performance coating. It has very low odor. Application temperature ranges from 60°F to 100°F. This material should not be applied to hot surfaces above 110°F. Working time at 75°F is approximately 1 hour. *For use as a primer to achieve superior adhesion to substrate, mix A &amp; B components 1A:1B ratio. For smooth self-leveling topcoats, use a mix ratio of 1A:2B. When used with color, use 1A:3B ratio. Always stir the B-Side thoroughly with jiffy mixer at low rpm prior to use while not inducing air (prevent entrapment of micro air bubbles). Functional operation temperature ranges from -40°F to 200°F. Anti-</w:t>
      </w:r>
      <w:proofErr w:type="spellStart"/>
      <w:r w:rsidRPr="00CF01D9">
        <w:rPr>
          <w:sz w:val="20"/>
          <w:szCs w:val="20"/>
        </w:rPr>
        <w:t>Grafitti</w:t>
      </w:r>
      <w:proofErr w:type="spellEnd"/>
      <w:r w:rsidRPr="00CF01D9">
        <w:rPr>
          <w:sz w:val="20"/>
          <w:szCs w:val="20"/>
        </w:rPr>
        <w:t xml:space="preserve"> is designed as a “Thin-Mil” coating and is not to be applied in thicknesses greater than 6-8 mils at one time. Coverage is approximately 250 sq. ft./ mixed gal.</w:t>
      </w:r>
    </w:p>
    <w:p w14:paraId="2F870745" w14:textId="77777777" w:rsidR="00CF01D9" w:rsidRDefault="00CF01D9" w:rsidP="007765F6">
      <w:pPr>
        <w:spacing w:after="0" w:line="240" w:lineRule="auto"/>
        <w:rPr>
          <w:rFonts w:cs="Arial"/>
          <w:sz w:val="12"/>
          <w:szCs w:val="12"/>
        </w:rPr>
      </w:pPr>
    </w:p>
    <w:p w14:paraId="5A92EA25" w14:textId="77777777" w:rsidR="00882DD4" w:rsidRPr="00882DD4" w:rsidRDefault="00882DD4" w:rsidP="007765F6">
      <w:pPr>
        <w:spacing w:after="0" w:line="240" w:lineRule="auto"/>
        <w:rPr>
          <w:rFonts w:cs="Arial"/>
          <w:b/>
          <w:color w:val="FFFFFF" w:themeColor="background1"/>
          <w:sz w:val="20"/>
          <w:szCs w:val="20"/>
        </w:rPr>
      </w:pPr>
      <w:r w:rsidRPr="00882DD4">
        <w:rPr>
          <w:rFonts w:cs="Arial"/>
          <w:b/>
          <w:color w:val="FFFFFF" w:themeColor="background1"/>
          <w:sz w:val="20"/>
          <w:szCs w:val="20"/>
          <w:highlight w:val="darkBlue"/>
        </w:rPr>
        <w:t>WARRANTY</w:t>
      </w:r>
    </w:p>
    <w:p w14:paraId="512D60C3" w14:textId="77777777" w:rsidR="00291AAC" w:rsidRPr="00882DD4" w:rsidRDefault="00182351" w:rsidP="00182351">
      <w:pPr>
        <w:pStyle w:val="BodyText"/>
        <w:rPr>
          <w:rFonts w:ascii="Calibri Light" w:hAnsi="Calibri Light"/>
          <w:color w:val="002060"/>
          <w:sz w:val="18"/>
          <w:szCs w:val="18"/>
        </w:rPr>
      </w:pPr>
      <w:r w:rsidRPr="00882DD4">
        <w:rPr>
          <w:rFonts w:ascii="Calibri Light" w:hAnsi="Calibri Light"/>
          <w:color w:val="002060"/>
          <w:sz w:val="18"/>
          <w:szCs w:val="18"/>
        </w:rPr>
        <w:t>The information herein is believed to be reliable, but unknown risks may be p</w:t>
      </w:r>
      <w:r w:rsidR="00882DD4" w:rsidRPr="00882DD4">
        <w:rPr>
          <w:rFonts w:ascii="Calibri Light" w:hAnsi="Calibri Light"/>
          <w:color w:val="002060"/>
          <w:sz w:val="18"/>
          <w:szCs w:val="18"/>
        </w:rPr>
        <w:t xml:space="preserve">resent.  </w:t>
      </w:r>
      <w:proofErr w:type="spellStart"/>
      <w:r w:rsidR="00882DD4" w:rsidRPr="00882DD4">
        <w:rPr>
          <w:rFonts w:ascii="Calibri Light" w:hAnsi="Calibri Light"/>
          <w:color w:val="002060"/>
          <w:sz w:val="18"/>
          <w:szCs w:val="18"/>
        </w:rPr>
        <w:t>superskinsystems</w:t>
      </w:r>
      <w:proofErr w:type="spellEnd"/>
      <w:r w:rsidR="00882DD4" w:rsidRPr="00882DD4">
        <w:rPr>
          <w:rFonts w:ascii="Calibri Light" w:hAnsi="Calibri Light"/>
          <w:color w:val="002060"/>
          <w:sz w:val="18"/>
          <w:szCs w:val="18"/>
        </w:rPr>
        <w:t xml:space="preserve">, </w:t>
      </w:r>
      <w:proofErr w:type="spellStart"/>
      <w:r w:rsidR="00882DD4" w:rsidRPr="00882DD4">
        <w:rPr>
          <w:rFonts w:ascii="Calibri Light" w:hAnsi="Calibri Light"/>
          <w:color w:val="002060"/>
          <w:sz w:val="18"/>
          <w:szCs w:val="18"/>
        </w:rPr>
        <w:t>inc.</w:t>
      </w:r>
      <w:proofErr w:type="spellEnd"/>
      <w:r w:rsidR="00882DD4" w:rsidRPr="00882DD4">
        <w:rPr>
          <w:rFonts w:ascii="Calibri Light" w:hAnsi="Calibri Light"/>
          <w:color w:val="002060"/>
          <w:sz w:val="18"/>
          <w:szCs w:val="18"/>
        </w:rPr>
        <w:t>,</w:t>
      </w:r>
      <w:r w:rsidRPr="00882DD4">
        <w:rPr>
          <w:rFonts w:ascii="Calibri Light" w:hAnsi="Calibri Light"/>
          <w:color w:val="002060"/>
          <w:sz w:val="18"/>
          <w:szCs w:val="18"/>
        </w:rPr>
        <w:t xml:space="preserve"> warrants only that the materials shall be of merchantable quality.  This warranty is in lieu of all other written or unwritten, expressed or implied war</w:t>
      </w:r>
      <w:r w:rsidR="00882DD4" w:rsidRPr="00882DD4">
        <w:rPr>
          <w:rFonts w:ascii="Calibri Light" w:hAnsi="Calibri Light"/>
          <w:color w:val="002060"/>
          <w:sz w:val="18"/>
          <w:szCs w:val="18"/>
        </w:rPr>
        <w:t xml:space="preserve">ranties.  </w:t>
      </w:r>
      <w:proofErr w:type="spellStart"/>
      <w:r w:rsidR="00882DD4" w:rsidRPr="00882DD4">
        <w:rPr>
          <w:rFonts w:ascii="Calibri Light" w:hAnsi="Calibri Light"/>
          <w:color w:val="002060"/>
          <w:sz w:val="18"/>
          <w:szCs w:val="18"/>
        </w:rPr>
        <w:t>superskinsystems</w:t>
      </w:r>
      <w:proofErr w:type="spellEnd"/>
      <w:r w:rsidR="00882DD4" w:rsidRPr="00882DD4">
        <w:rPr>
          <w:rFonts w:ascii="Calibri Light" w:hAnsi="Calibri Light"/>
          <w:color w:val="002060"/>
          <w:sz w:val="18"/>
          <w:szCs w:val="18"/>
        </w:rPr>
        <w:t xml:space="preserve">, </w:t>
      </w:r>
      <w:proofErr w:type="spellStart"/>
      <w:r w:rsidR="00882DD4" w:rsidRPr="00882DD4">
        <w:rPr>
          <w:rFonts w:ascii="Calibri Light" w:hAnsi="Calibri Light"/>
          <w:color w:val="002060"/>
          <w:sz w:val="18"/>
          <w:szCs w:val="18"/>
        </w:rPr>
        <w:t>inc.</w:t>
      </w:r>
      <w:proofErr w:type="spellEnd"/>
      <w:r w:rsidRPr="00882DD4">
        <w:rPr>
          <w:rFonts w:ascii="Calibri Light" w:hAnsi="Calibri Light"/>
          <w:color w:val="002060"/>
          <w:sz w:val="18"/>
          <w:szCs w:val="18"/>
        </w:rPr>
        <w:t>, expressly disclaims any warranty of fitness for a particular purpose, or freedom from patent infringement.  Accordingly, Buyer assumes all risks whatsoever as to the use of these materials.  Buyer's exclusive remedy as to any breach of warranty or negligence claim shall be limited to the purchase price of the materials.  Failure to strictly adhere to recommended procedures shall relieve SUPERSKINSYSTEMS INC. of all liability with respect to the materials or the use thereof.</w:t>
      </w:r>
    </w:p>
    <w:p w14:paraId="54E5F214" w14:textId="754F21C2" w:rsidR="00BD4828" w:rsidRDefault="00BD4828" w:rsidP="007765F6">
      <w:pPr>
        <w:spacing w:after="0" w:line="240" w:lineRule="auto"/>
        <w:rPr>
          <w:sz w:val="20"/>
          <w:szCs w:val="20"/>
        </w:rPr>
        <w:sectPr w:rsidR="00BD4828" w:rsidSect="002C20AD">
          <w:headerReference w:type="default" r:id="rId6"/>
          <w:footerReference w:type="default" r:id="rId7"/>
          <w:pgSz w:w="12240" w:h="15840"/>
          <w:pgMar w:top="720" w:right="720" w:bottom="720" w:left="720" w:header="720" w:footer="720" w:gutter="0"/>
          <w:cols w:num="2" w:sep="1" w:space="720"/>
          <w:docGrid w:linePitch="360"/>
        </w:sectPr>
      </w:pPr>
    </w:p>
    <w:p w14:paraId="64CFBCEF" w14:textId="77777777" w:rsidR="00F1763D" w:rsidRDefault="00F1763D" w:rsidP="00BD4828">
      <w:pPr>
        <w:spacing w:after="0" w:line="240" w:lineRule="auto"/>
        <w:rPr>
          <w:sz w:val="20"/>
          <w:szCs w:val="20"/>
        </w:rPr>
      </w:pPr>
    </w:p>
    <w:sectPr w:rsidR="00F1763D" w:rsidSect="00291AAC">
      <w:type w:val="continuous"/>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6EE02" w14:textId="77777777" w:rsidR="001137C2" w:rsidRDefault="001137C2" w:rsidP="002C20AD">
      <w:pPr>
        <w:spacing w:after="0" w:line="240" w:lineRule="auto"/>
      </w:pPr>
      <w:r>
        <w:separator/>
      </w:r>
    </w:p>
  </w:endnote>
  <w:endnote w:type="continuationSeparator" w:id="0">
    <w:p w14:paraId="32F0C125" w14:textId="77777777" w:rsidR="001137C2" w:rsidRDefault="001137C2" w:rsidP="002C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21F0" w14:textId="77777777" w:rsidR="007765F6" w:rsidRDefault="00E73B5B" w:rsidP="007765F6">
    <w:pPr>
      <w:spacing w:after="0" w:line="240" w:lineRule="auto"/>
      <w:jc w:val="center"/>
      <w:rPr>
        <w:rFonts w:ascii="Arial" w:hAnsi="Arial" w:cs="Arial"/>
        <w:color w:val="000000"/>
        <w:sz w:val="18"/>
        <w:szCs w:val="18"/>
      </w:rPr>
    </w:pPr>
    <w:r w:rsidRPr="00E73B5B">
      <w:rPr>
        <w:rFonts w:ascii="Arial" w:hAnsi="Arial" w:cs="Arial"/>
        <w:noProof/>
        <w:color w:val="000000"/>
        <w:sz w:val="18"/>
        <w:szCs w:val="18"/>
      </w:rPr>
      <w:drawing>
        <wp:inline distT="0" distB="0" distL="0" distR="0" wp14:anchorId="76FABC5C" wp14:editId="0C18FA94">
          <wp:extent cx="790575" cy="266700"/>
          <wp:effectExtent l="0" t="0" r="9525" b="0"/>
          <wp:docPr id="7" name="Picture 7" descr="C:\Users\Superskinsystems\Pictures\SSS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perskinsystems\Pictures\SSS 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p w14:paraId="676AEE3E" w14:textId="77777777" w:rsidR="007765F6" w:rsidRDefault="007765F6" w:rsidP="007765F6">
    <w:pPr>
      <w:spacing w:after="0" w:line="240" w:lineRule="auto"/>
      <w:jc w:val="center"/>
      <w:rPr>
        <w:rFonts w:ascii="Arial" w:hAnsi="Arial" w:cs="Arial"/>
        <w:color w:val="000000"/>
        <w:sz w:val="18"/>
        <w:szCs w:val="18"/>
      </w:rPr>
    </w:pPr>
    <w:r>
      <w:rPr>
        <w:rFonts w:ascii="Arial" w:hAnsi="Arial" w:cs="Arial"/>
        <w:color w:val="000000"/>
        <w:sz w:val="18"/>
        <w:szCs w:val="18"/>
      </w:rPr>
      <w:t>www.</w:t>
    </w:r>
    <w:r w:rsidR="00E73B5B">
      <w:rPr>
        <w:rFonts w:ascii="Arial" w:hAnsi="Arial" w:cs="Arial"/>
        <w:color w:val="000000"/>
        <w:sz w:val="18"/>
        <w:szCs w:val="18"/>
      </w:rPr>
      <w:t>superskinsystems</w:t>
    </w:r>
    <w:r>
      <w:rPr>
        <w:rFonts w:ascii="Arial" w:hAnsi="Arial" w:cs="Arial"/>
        <w:color w:val="000000"/>
        <w:sz w:val="18"/>
        <w:szCs w:val="18"/>
      </w:rPr>
      <w:t>.com</w:t>
    </w:r>
  </w:p>
  <w:p w14:paraId="0C42BC9C" w14:textId="77777777" w:rsidR="00E73B5B" w:rsidRPr="00B00D2B" w:rsidRDefault="00E73B5B" w:rsidP="00E73B5B">
    <w:pPr>
      <w:spacing w:after="0" w:line="240" w:lineRule="auto"/>
      <w:jc w:val="center"/>
      <w:rPr>
        <w:b/>
        <w:sz w:val="16"/>
        <w:szCs w:val="16"/>
      </w:rPr>
    </w:pPr>
    <w:r>
      <w:rPr>
        <w:rFonts w:ascii="Arial" w:hAnsi="Arial" w:cs="Arial"/>
        <w:color w:val="000000"/>
        <w:sz w:val="18"/>
        <w:szCs w:val="18"/>
      </w:rPr>
      <w:t>Copyright© SuperSkinSystems™, Inc. 2015</w:t>
    </w:r>
    <w:r w:rsidR="007765F6">
      <w:rPr>
        <w:rFonts w:ascii="Arial" w:hAnsi="Arial" w:cs="Arial"/>
        <w:color w:val="000000"/>
        <w:sz w:val="18"/>
        <w:szCs w:val="18"/>
      </w:rPr>
      <w:br/>
    </w:r>
    <w:r>
      <w:rPr>
        <w:rFonts w:ascii="Arial" w:hAnsi="Arial" w:cs="Arial"/>
        <w:color w:val="000000"/>
        <w:sz w:val="18"/>
        <w:szCs w:val="18"/>
      </w:rPr>
      <w:t>322 Industrial Park Drive  |  Lawrenceville, GA 30046</w:t>
    </w:r>
    <w:r>
      <w:rPr>
        <w:rFonts w:ascii="Arial" w:hAnsi="Arial" w:cs="Arial"/>
        <w:color w:val="000000"/>
        <w:sz w:val="18"/>
        <w:szCs w:val="18"/>
      </w:rPr>
      <w:br/>
      <w:t>PH: 404-216-4711 |  404-229-8343 | 404-435-4201</w:t>
    </w:r>
  </w:p>
  <w:p w14:paraId="774A585A" w14:textId="77777777" w:rsidR="007765F6" w:rsidRPr="007765F6" w:rsidRDefault="007765F6" w:rsidP="007765F6">
    <w:pPr>
      <w:spacing w:after="0" w:line="240" w:lineRule="auto"/>
      <w:jc w:val="center"/>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FBBDB" w14:textId="77777777" w:rsidR="001137C2" w:rsidRDefault="001137C2" w:rsidP="002C20AD">
      <w:pPr>
        <w:spacing w:after="0" w:line="240" w:lineRule="auto"/>
      </w:pPr>
      <w:r>
        <w:separator/>
      </w:r>
    </w:p>
  </w:footnote>
  <w:footnote w:type="continuationSeparator" w:id="0">
    <w:p w14:paraId="23DD3954" w14:textId="77777777" w:rsidR="001137C2" w:rsidRDefault="001137C2" w:rsidP="002C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6613" w14:textId="77777777" w:rsidR="00E73B5B" w:rsidRDefault="00E73B5B" w:rsidP="00E73B5B">
    <w:pPr>
      <w:pStyle w:val="Header"/>
      <w:jc w:val="center"/>
      <w:rPr>
        <w:b/>
        <w:color w:val="FFFFFF" w:themeColor="background1"/>
        <w:sz w:val="10"/>
        <w:szCs w:val="10"/>
        <w:highlight w:val="darkGray"/>
      </w:rPr>
    </w:pPr>
    <w:r w:rsidRPr="00E73B5B">
      <w:rPr>
        <w:b/>
        <w:noProof/>
        <w:color w:val="FFFFFF" w:themeColor="background1"/>
        <w:sz w:val="40"/>
        <w:szCs w:val="40"/>
      </w:rPr>
      <w:drawing>
        <wp:inline distT="0" distB="0" distL="0" distR="0" wp14:anchorId="7615F711" wp14:editId="43B44CFF">
          <wp:extent cx="2578591"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erskinsystems\Pictures\SSS New 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8591" cy="933450"/>
                  </a:xfrm>
                  <a:prstGeom prst="rect">
                    <a:avLst/>
                  </a:prstGeom>
                  <a:noFill/>
                  <a:ln>
                    <a:noFill/>
                  </a:ln>
                </pic:spPr>
              </pic:pic>
            </a:graphicData>
          </a:graphic>
        </wp:inline>
      </w:drawing>
    </w:r>
  </w:p>
  <w:p w14:paraId="33A9CC7F" w14:textId="77777777" w:rsidR="00E73B5B" w:rsidRPr="00E73B5B" w:rsidRDefault="00E73B5B" w:rsidP="00E73B5B">
    <w:pPr>
      <w:pStyle w:val="Header"/>
      <w:jc w:val="center"/>
      <w:rPr>
        <w:b/>
        <w:color w:val="FFFFFF" w:themeColor="background1"/>
        <w:sz w:val="10"/>
        <w:szCs w:val="10"/>
        <w:highlight w:val="darkGray"/>
      </w:rPr>
    </w:pPr>
  </w:p>
  <w:p w14:paraId="4DC2BC41" w14:textId="646A9DBB" w:rsidR="00CF01D9" w:rsidRPr="00CF01D9" w:rsidRDefault="004161A0" w:rsidP="00CF01D9">
    <w:pPr>
      <w:pStyle w:val="Header"/>
      <w:jc w:val="right"/>
      <w:rPr>
        <w:b/>
        <w:color w:val="FFFFFF" w:themeColor="background1"/>
        <w:sz w:val="40"/>
        <w:szCs w:val="40"/>
        <w:highlight w:val="darkGray"/>
      </w:rPr>
    </w:pPr>
    <w:r>
      <w:rPr>
        <w:b/>
        <w:color w:val="FFFFFF" w:themeColor="background1"/>
        <w:sz w:val="40"/>
        <w:szCs w:val="40"/>
        <w:highlight w:val="darkGray"/>
      </w:rPr>
      <w:t xml:space="preserve"> </w:t>
    </w:r>
    <w:r w:rsidR="002C20AD" w:rsidRPr="004161A0">
      <w:rPr>
        <w:b/>
        <w:color w:val="FFFFFF" w:themeColor="background1"/>
        <w:sz w:val="40"/>
        <w:szCs w:val="40"/>
        <w:highlight w:val="darkGray"/>
      </w:rPr>
      <w:t xml:space="preserve">                                                     </w:t>
    </w:r>
    <w:r w:rsidR="00CF01D9">
      <w:rPr>
        <w:b/>
        <w:color w:val="FFFFFF" w:themeColor="background1"/>
        <w:sz w:val="40"/>
        <w:szCs w:val="40"/>
        <w:highlight w:val="darkGray"/>
      </w:rPr>
      <w:t xml:space="preserve">                         </w:t>
    </w:r>
    <w:r w:rsidR="002C20AD" w:rsidRPr="004161A0">
      <w:rPr>
        <w:b/>
        <w:color w:val="FFFFFF" w:themeColor="background1"/>
        <w:sz w:val="40"/>
        <w:szCs w:val="40"/>
        <w:highlight w:val="darkGray"/>
      </w:rPr>
      <w:t xml:space="preserve">   </w:t>
    </w:r>
    <w:r w:rsidR="00CF01D9" w:rsidRPr="00CF01D9">
      <w:rPr>
        <w:b/>
        <w:color w:val="FFFFFF" w:themeColor="background1"/>
        <w:sz w:val="40"/>
        <w:szCs w:val="40"/>
        <w:highlight w:val="darkGray"/>
      </w:rPr>
      <w:t>Anti-Graffiti Coating</w:t>
    </w:r>
  </w:p>
  <w:p w14:paraId="1416FA62" w14:textId="1F063F9A" w:rsidR="002C20AD" w:rsidRDefault="002C20AD" w:rsidP="002C20AD">
    <w:pPr>
      <w:pStyle w:val="Header"/>
      <w:jc w:val="right"/>
      <w:rPr>
        <w:b/>
        <w:color w:val="FFFFFF" w:themeColor="background1"/>
        <w:sz w:val="10"/>
        <w:szCs w:val="10"/>
      </w:rPr>
    </w:pPr>
  </w:p>
  <w:p w14:paraId="509037B3" w14:textId="77777777" w:rsidR="002C20AD" w:rsidRPr="002C20AD" w:rsidRDefault="002C20AD" w:rsidP="002C20AD">
    <w:pPr>
      <w:pStyle w:val="Header"/>
      <w:jc w:val="right"/>
      <w:rPr>
        <w:b/>
        <w:color w:val="FFFFFF" w:themeColor="background1"/>
        <w:sz w:val="10"/>
        <w:szCs w:val="10"/>
      </w:rPr>
    </w:pPr>
  </w:p>
  <w:p w14:paraId="47B5AD69" w14:textId="13F1D49A" w:rsidR="002C20AD" w:rsidRPr="006D2E8B" w:rsidRDefault="002C20AD" w:rsidP="002C20AD">
    <w:pPr>
      <w:pStyle w:val="Header"/>
      <w:jc w:val="right"/>
      <w:rPr>
        <w:b/>
        <w:color w:val="FFFFFF" w:themeColor="background1"/>
        <w:sz w:val="40"/>
        <w:szCs w:val="40"/>
      </w:rPr>
    </w:pPr>
    <w:r w:rsidRPr="006D2E8B">
      <w:rPr>
        <w:b/>
        <w:color w:val="FFFFFF" w:themeColor="background1"/>
        <w:sz w:val="40"/>
        <w:szCs w:val="40"/>
        <w:highlight w:val="darkBlue"/>
      </w:rPr>
      <w:t xml:space="preserve">                                           </w:t>
    </w:r>
    <w:r w:rsidR="00CE18CF" w:rsidRPr="006D2E8B">
      <w:rPr>
        <w:b/>
        <w:color w:val="FFFFFF" w:themeColor="background1"/>
        <w:sz w:val="40"/>
        <w:szCs w:val="40"/>
        <w:highlight w:val="darkBlue"/>
      </w:rPr>
      <w:t xml:space="preserve"> </w:t>
    </w:r>
    <w:r w:rsidR="00CF01D9">
      <w:rPr>
        <w:b/>
        <w:color w:val="FFFFFF" w:themeColor="background1"/>
        <w:sz w:val="40"/>
        <w:szCs w:val="40"/>
        <w:highlight w:val="darkBlue"/>
      </w:rPr>
      <w:t xml:space="preserve">     </w:t>
    </w:r>
    <w:r w:rsidR="00CE18CF" w:rsidRPr="006D2E8B">
      <w:rPr>
        <w:b/>
        <w:color w:val="FFFFFF" w:themeColor="background1"/>
        <w:sz w:val="40"/>
        <w:szCs w:val="40"/>
        <w:highlight w:val="darkBlue"/>
      </w:rPr>
      <w:t xml:space="preserve">   </w:t>
    </w:r>
    <w:r w:rsidR="004161A0">
      <w:rPr>
        <w:b/>
        <w:color w:val="FFFFFF" w:themeColor="background1"/>
        <w:sz w:val="40"/>
        <w:szCs w:val="40"/>
        <w:highlight w:val="darkBlue"/>
      </w:rPr>
      <w:t xml:space="preserve"> </w:t>
    </w:r>
    <w:r w:rsidRPr="006D2E8B">
      <w:rPr>
        <w:b/>
        <w:color w:val="FFFFFF" w:themeColor="background1"/>
        <w:sz w:val="40"/>
        <w:szCs w:val="40"/>
        <w:highlight w:val="darkBlue"/>
      </w:rPr>
      <w:t xml:space="preserve">Two-Component </w:t>
    </w:r>
    <w:r w:rsidR="00CF01D9">
      <w:rPr>
        <w:b/>
        <w:color w:val="FFFFFF" w:themeColor="background1"/>
        <w:sz w:val="40"/>
        <w:szCs w:val="40"/>
        <w:highlight w:val="darkBlue"/>
      </w:rPr>
      <w:t>70</w:t>
    </w:r>
    <w:r w:rsidR="004161A0" w:rsidRPr="004161A0">
      <w:rPr>
        <w:b/>
        <w:color w:val="FFFFFF" w:themeColor="background1"/>
        <w:sz w:val="40"/>
        <w:szCs w:val="40"/>
        <w:highlight w:val="darkBlue"/>
      </w:rPr>
      <w:t xml:space="preserve">% Solids </w:t>
    </w:r>
    <w:r w:rsidR="00CF01D9">
      <w:rPr>
        <w:b/>
        <w:color w:val="FFFFFF" w:themeColor="background1"/>
        <w:sz w:val="40"/>
        <w:szCs w:val="40"/>
        <w:highlight w:val="darkBlue"/>
      </w:rPr>
      <w:t>Coating</w:t>
    </w:r>
  </w:p>
  <w:p w14:paraId="1FCA77C1" w14:textId="77777777" w:rsidR="002C20AD" w:rsidRPr="008C145C" w:rsidRDefault="002C20AD">
    <w:pPr>
      <w:pStyle w:val="Head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0AD"/>
    <w:rsid w:val="0009572A"/>
    <w:rsid w:val="000C5820"/>
    <w:rsid w:val="000E3FEE"/>
    <w:rsid w:val="001137C2"/>
    <w:rsid w:val="00114796"/>
    <w:rsid w:val="00142F19"/>
    <w:rsid w:val="0014652C"/>
    <w:rsid w:val="00182351"/>
    <w:rsid w:val="00291AAC"/>
    <w:rsid w:val="002C20AD"/>
    <w:rsid w:val="002E0955"/>
    <w:rsid w:val="0037155B"/>
    <w:rsid w:val="003D1723"/>
    <w:rsid w:val="003D259D"/>
    <w:rsid w:val="00400234"/>
    <w:rsid w:val="004020B2"/>
    <w:rsid w:val="004161A0"/>
    <w:rsid w:val="00443556"/>
    <w:rsid w:val="004C0A5F"/>
    <w:rsid w:val="00542DF8"/>
    <w:rsid w:val="005D4B8C"/>
    <w:rsid w:val="006D2E8B"/>
    <w:rsid w:val="007765F6"/>
    <w:rsid w:val="00870158"/>
    <w:rsid w:val="00882DD4"/>
    <w:rsid w:val="008C145C"/>
    <w:rsid w:val="009F4726"/>
    <w:rsid w:val="00A063C1"/>
    <w:rsid w:val="00AA0E22"/>
    <w:rsid w:val="00B85684"/>
    <w:rsid w:val="00B90051"/>
    <w:rsid w:val="00BD1574"/>
    <w:rsid w:val="00BD4828"/>
    <w:rsid w:val="00BE78C4"/>
    <w:rsid w:val="00C64060"/>
    <w:rsid w:val="00CE18CF"/>
    <w:rsid w:val="00CF01D9"/>
    <w:rsid w:val="00D27A3A"/>
    <w:rsid w:val="00D31A40"/>
    <w:rsid w:val="00DE4D1D"/>
    <w:rsid w:val="00E73B5B"/>
    <w:rsid w:val="00E76320"/>
    <w:rsid w:val="00ED59A0"/>
    <w:rsid w:val="00EE338E"/>
    <w:rsid w:val="00EF5C86"/>
    <w:rsid w:val="00F1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814B7"/>
  <w15:docId w15:val="{42695743-E998-4976-B72A-BB1318E0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1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0AD"/>
  </w:style>
  <w:style w:type="paragraph" w:styleId="Footer">
    <w:name w:val="footer"/>
    <w:basedOn w:val="Normal"/>
    <w:link w:val="FooterChar"/>
    <w:uiPriority w:val="99"/>
    <w:unhideWhenUsed/>
    <w:rsid w:val="002C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0AD"/>
  </w:style>
  <w:style w:type="character" w:styleId="Hyperlink">
    <w:name w:val="Hyperlink"/>
    <w:basedOn w:val="DefaultParagraphFont"/>
    <w:uiPriority w:val="99"/>
    <w:unhideWhenUsed/>
    <w:rsid w:val="007765F6"/>
    <w:rPr>
      <w:color w:val="0000FF"/>
      <w:u w:val="single"/>
    </w:rPr>
  </w:style>
  <w:style w:type="table" w:styleId="TableGrid">
    <w:name w:val="Table Grid"/>
    <w:basedOn w:val="TableNormal"/>
    <w:uiPriority w:val="39"/>
    <w:rsid w:val="00B90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8CF"/>
    <w:rPr>
      <w:rFonts w:ascii="Segoe UI" w:hAnsi="Segoe UI" w:cs="Segoe UI"/>
      <w:sz w:val="18"/>
      <w:szCs w:val="18"/>
    </w:rPr>
  </w:style>
  <w:style w:type="paragraph" w:styleId="BodyText">
    <w:name w:val="Body Text"/>
    <w:basedOn w:val="Normal"/>
    <w:link w:val="BodyTextChar"/>
    <w:semiHidden/>
    <w:rsid w:val="00182351"/>
    <w:pPr>
      <w:spacing w:after="0" w:line="240" w:lineRule="auto"/>
      <w:jc w:val="both"/>
    </w:pPr>
    <w:rPr>
      <w:rFonts w:ascii="Times New Roman" w:eastAsia="Times New Roman" w:hAnsi="Times New Roman" w:cs="Times New Roman"/>
      <w:smallCaps/>
      <w:spacing w:val="-3"/>
      <w:sz w:val="16"/>
      <w:szCs w:val="20"/>
    </w:rPr>
  </w:style>
  <w:style w:type="character" w:customStyle="1" w:styleId="BodyTextChar">
    <w:name w:val="Body Text Char"/>
    <w:basedOn w:val="DefaultParagraphFont"/>
    <w:link w:val="BodyText"/>
    <w:semiHidden/>
    <w:rsid w:val="00182351"/>
    <w:rPr>
      <w:rFonts w:ascii="Times New Roman" w:eastAsia="Times New Roman" w:hAnsi="Times New Roman" w:cs="Times New Roman"/>
      <w:smallCaps/>
      <w:spacing w:val="-3"/>
      <w:sz w:val="16"/>
      <w:szCs w:val="20"/>
    </w:rPr>
  </w:style>
  <w:style w:type="character" w:customStyle="1" w:styleId="Heading1Char">
    <w:name w:val="Heading 1 Char"/>
    <w:basedOn w:val="DefaultParagraphFont"/>
    <w:link w:val="Heading1"/>
    <w:uiPriority w:val="9"/>
    <w:rsid w:val="00CF01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9449">
      <w:bodyDiv w:val="1"/>
      <w:marLeft w:val="0"/>
      <w:marRight w:val="0"/>
      <w:marTop w:val="0"/>
      <w:marBottom w:val="0"/>
      <w:divBdr>
        <w:top w:val="none" w:sz="0" w:space="0" w:color="auto"/>
        <w:left w:val="none" w:sz="0" w:space="0" w:color="auto"/>
        <w:bottom w:val="none" w:sz="0" w:space="0" w:color="auto"/>
        <w:right w:val="none" w:sz="0" w:space="0" w:color="auto"/>
      </w:divBdr>
    </w:div>
    <w:div w:id="568734806">
      <w:bodyDiv w:val="1"/>
      <w:marLeft w:val="0"/>
      <w:marRight w:val="0"/>
      <w:marTop w:val="0"/>
      <w:marBottom w:val="0"/>
      <w:divBdr>
        <w:top w:val="none" w:sz="0" w:space="0" w:color="auto"/>
        <w:left w:val="none" w:sz="0" w:space="0" w:color="auto"/>
        <w:bottom w:val="none" w:sz="0" w:space="0" w:color="auto"/>
        <w:right w:val="none" w:sz="0" w:space="0" w:color="auto"/>
      </w:divBdr>
    </w:div>
    <w:div w:id="887764859">
      <w:bodyDiv w:val="1"/>
      <w:marLeft w:val="0"/>
      <w:marRight w:val="0"/>
      <w:marTop w:val="0"/>
      <w:marBottom w:val="0"/>
      <w:divBdr>
        <w:top w:val="none" w:sz="0" w:space="0" w:color="auto"/>
        <w:left w:val="none" w:sz="0" w:space="0" w:color="auto"/>
        <w:bottom w:val="none" w:sz="0" w:space="0" w:color="auto"/>
        <w:right w:val="none" w:sz="0" w:space="0" w:color="auto"/>
      </w:divBdr>
    </w:div>
    <w:div w:id="1027486208">
      <w:bodyDiv w:val="1"/>
      <w:marLeft w:val="0"/>
      <w:marRight w:val="0"/>
      <w:marTop w:val="0"/>
      <w:marBottom w:val="0"/>
      <w:divBdr>
        <w:top w:val="none" w:sz="0" w:space="0" w:color="auto"/>
        <w:left w:val="none" w:sz="0" w:space="0" w:color="auto"/>
        <w:bottom w:val="none" w:sz="0" w:space="0" w:color="auto"/>
        <w:right w:val="none" w:sz="0" w:space="0" w:color="auto"/>
      </w:divBdr>
    </w:div>
    <w:div w:id="1412922960">
      <w:bodyDiv w:val="1"/>
      <w:marLeft w:val="0"/>
      <w:marRight w:val="0"/>
      <w:marTop w:val="0"/>
      <w:marBottom w:val="0"/>
      <w:divBdr>
        <w:top w:val="none" w:sz="0" w:space="0" w:color="auto"/>
        <w:left w:val="none" w:sz="0" w:space="0" w:color="auto"/>
        <w:bottom w:val="none" w:sz="0" w:space="0" w:color="auto"/>
        <w:right w:val="none" w:sz="0" w:space="0" w:color="auto"/>
      </w:divBdr>
    </w:div>
    <w:div w:id="1547179151">
      <w:bodyDiv w:val="1"/>
      <w:marLeft w:val="0"/>
      <w:marRight w:val="0"/>
      <w:marTop w:val="0"/>
      <w:marBottom w:val="0"/>
      <w:divBdr>
        <w:top w:val="none" w:sz="0" w:space="0" w:color="auto"/>
        <w:left w:val="none" w:sz="0" w:space="0" w:color="auto"/>
        <w:bottom w:val="none" w:sz="0" w:space="0" w:color="auto"/>
        <w:right w:val="none" w:sz="0" w:space="0" w:color="auto"/>
      </w:divBdr>
    </w:div>
    <w:div w:id="1689603140">
      <w:bodyDiv w:val="1"/>
      <w:marLeft w:val="0"/>
      <w:marRight w:val="0"/>
      <w:marTop w:val="0"/>
      <w:marBottom w:val="0"/>
      <w:divBdr>
        <w:top w:val="none" w:sz="0" w:space="0" w:color="auto"/>
        <w:left w:val="none" w:sz="0" w:space="0" w:color="auto"/>
        <w:bottom w:val="none" w:sz="0" w:space="0" w:color="auto"/>
        <w:right w:val="none" w:sz="0" w:space="0" w:color="auto"/>
      </w:divBdr>
    </w:div>
    <w:div w:id="17058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Superskinsystems</dc:creator>
  <cp:keywords/>
  <dc:description/>
  <cp:lastModifiedBy>Brett Adams</cp:lastModifiedBy>
  <cp:revision>3</cp:revision>
  <cp:lastPrinted>2018-08-08T17:19:00Z</cp:lastPrinted>
  <dcterms:created xsi:type="dcterms:W3CDTF">2018-08-08T17:36:00Z</dcterms:created>
  <dcterms:modified xsi:type="dcterms:W3CDTF">2018-08-08T18:29:00Z</dcterms:modified>
</cp:coreProperties>
</file>